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83D" w:rsidRPr="0077282B" w:rsidRDefault="0013383D" w:rsidP="0013383D">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3GPP TSG-RAN WG2 Meeting #106</w:t>
      </w:r>
      <w:r w:rsidRPr="0077282B">
        <w:rPr>
          <w:rFonts w:ascii="Arial" w:eastAsia="바탕" w:hAnsi="Arial" w:cs="Arial"/>
          <w:b/>
          <w:kern w:val="0"/>
          <w:sz w:val="24"/>
          <w:szCs w:val="20"/>
          <w:lang w:eastAsia="en-US"/>
        </w:rPr>
        <w:tab/>
      </w:r>
      <w:r w:rsidRPr="0077282B">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006C38BB" w:rsidRPr="006C38BB">
        <w:rPr>
          <w:rFonts w:ascii="Arial" w:eastAsia="바탕" w:hAnsi="Arial" w:cs="Arial"/>
          <w:b/>
          <w:kern w:val="0"/>
          <w:sz w:val="24"/>
          <w:szCs w:val="20"/>
          <w:lang w:eastAsia="en-US"/>
        </w:rPr>
        <w:t>R2-1908029</w:t>
      </w:r>
      <w:bookmarkStart w:id="0" w:name="_GoBack"/>
      <w:bookmarkEnd w:id="0"/>
    </w:p>
    <w:p w:rsidR="0013383D" w:rsidRPr="0077282B" w:rsidRDefault="0013383D" w:rsidP="0013383D">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Reno, USA,13th - 17th May 2019</w:t>
      </w:r>
    </w:p>
    <w:p w:rsidR="0013383D" w:rsidRPr="00A801BF" w:rsidRDefault="0013383D" w:rsidP="0013383D">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13383D" w:rsidRDefault="0013383D" w:rsidP="0013383D">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7D3111" w:rsidRPr="007D3111">
        <w:rPr>
          <w:rFonts w:ascii="바탕체" w:eastAsia="바탕체" w:hAnsi="바탕체" w:cs="바탕체"/>
          <w:b/>
          <w:bCs/>
          <w:kern w:val="0"/>
          <w:sz w:val="24"/>
          <w:szCs w:val="20"/>
        </w:rPr>
        <w:t>11.1.2</w:t>
      </w:r>
    </w:p>
    <w:p w:rsidR="0013383D" w:rsidRPr="00A801BF" w:rsidRDefault="0013383D" w:rsidP="0013383D">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13383D" w:rsidRPr="00A801BF" w:rsidRDefault="0013383D" w:rsidP="0013383D">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9012A8">
        <w:rPr>
          <w:rFonts w:ascii="Arial" w:eastAsia="바탕" w:hAnsi="Arial" w:cs="Arial"/>
          <w:b/>
          <w:bCs/>
          <w:kern w:val="0"/>
          <w:sz w:val="24"/>
          <w:szCs w:val="20"/>
          <w:lang w:eastAsia="en-US"/>
        </w:rPr>
        <w:t xml:space="preserve">Discussion on </w:t>
      </w:r>
      <w:r w:rsidR="00034333">
        <w:rPr>
          <w:rFonts w:ascii="Arial" w:eastAsia="바탕" w:hAnsi="Arial" w:cs="Arial"/>
          <w:b/>
          <w:bCs/>
          <w:kern w:val="0"/>
          <w:sz w:val="24"/>
          <w:szCs w:val="20"/>
          <w:lang w:eastAsia="en-US"/>
        </w:rPr>
        <w:t>NR DC architecture for IAB operation</w:t>
      </w:r>
    </w:p>
    <w:p w:rsidR="0013383D" w:rsidRPr="00A801BF" w:rsidRDefault="0013383D" w:rsidP="0013383D">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13383D" w:rsidRPr="00E55790" w:rsidRDefault="0013383D" w:rsidP="0013383D">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033F41" w:rsidRDefault="0013383D" w:rsidP="0013383D">
      <w:pPr>
        <w:rPr>
          <w:rFonts w:eastAsiaTheme="minorEastAsia"/>
        </w:rPr>
      </w:pPr>
      <w:r>
        <w:rPr>
          <w:rFonts w:eastAsiaTheme="minorEastAsia"/>
        </w:rPr>
        <w:t>I</w:t>
      </w:r>
      <w:r>
        <w:rPr>
          <w:rFonts w:eastAsiaTheme="minorEastAsia" w:hint="eastAsia"/>
        </w:rPr>
        <w:t xml:space="preserve">n </w:t>
      </w:r>
      <w:r>
        <w:rPr>
          <w:rFonts w:eastAsiaTheme="minorEastAsia"/>
        </w:rPr>
        <w:t>RAN2#105bis we made the agreements</w:t>
      </w:r>
      <w:r w:rsidR="00034333">
        <w:rPr>
          <w:rFonts w:eastAsiaTheme="minorEastAsia"/>
        </w:rPr>
        <w:t>:</w:t>
      </w:r>
    </w:p>
    <w:p w:rsidR="00034333" w:rsidRDefault="00034333" w:rsidP="0013383D">
      <w:pPr>
        <w:rPr>
          <w:rFonts w:eastAsia="맑은 고딕"/>
          <w:sz w:val="21"/>
          <w:szCs w:val="21"/>
        </w:rPr>
      </w:pPr>
      <w:r>
        <w:rPr>
          <w:rFonts w:ascii="Symbol" w:eastAsia="맑은 고딕" w:hAnsi="Symbol"/>
          <w:sz w:val="22"/>
        </w:rPr>
        <w:t></w:t>
      </w:r>
      <w:r>
        <w:rPr>
          <w:rFonts w:ascii="Times New Roman" w:eastAsia="맑은 고딕" w:hAnsi="Times New Roman" w:cs="Times New Roman"/>
          <w:sz w:val="14"/>
          <w:szCs w:val="14"/>
        </w:rPr>
        <w:t xml:space="preserve">     </w:t>
      </w:r>
      <w:r>
        <w:rPr>
          <w:rFonts w:eastAsia="맑은 고딕"/>
          <w:sz w:val="21"/>
          <w:szCs w:val="21"/>
        </w:rPr>
        <w:t xml:space="preserve">R2 assumes that the NR DC framework (e.g. MCG SCG related procedures) is used to </w:t>
      </w:r>
      <w:r w:rsidRPr="00034333">
        <w:rPr>
          <w:rFonts w:eastAsia="맑은 고딕"/>
          <w:sz w:val="21"/>
          <w:szCs w:val="21"/>
          <w:highlight w:val="yellow"/>
        </w:rPr>
        <w:t>configure dual radio links used as IAB bh links with two parent nodes.</w:t>
      </w:r>
    </w:p>
    <w:p w:rsidR="00034333" w:rsidRDefault="00034333" w:rsidP="0013383D">
      <w:pPr>
        <w:rPr>
          <w:rFonts w:eastAsia="맑은 고딕"/>
          <w:sz w:val="21"/>
          <w:szCs w:val="21"/>
        </w:rPr>
      </w:pPr>
    </w:p>
    <w:p w:rsidR="00034333" w:rsidRDefault="00034333" w:rsidP="0013383D">
      <w:pPr>
        <w:rPr>
          <w:rFonts w:eastAsia="맑은 고딕"/>
          <w:sz w:val="21"/>
          <w:szCs w:val="21"/>
        </w:rPr>
      </w:pPr>
      <w:r>
        <w:rPr>
          <w:rFonts w:eastAsia="맑은 고딕"/>
          <w:sz w:val="21"/>
          <w:szCs w:val="21"/>
        </w:rPr>
        <w:t>In this paper, we discuss on the exact architecture option to be used for NR DC framework in IAB.</w:t>
      </w:r>
    </w:p>
    <w:p w:rsidR="00034333" w:rsidRDefault="00034333" w:rsidP="0013383D">
      <w:pPr>
        <w:rPr>
          <w:rFonts w:eastAsia="맑은 고딕"/>
          <w:sz w:val="21"/>
          <w:szCs w:val="21"/>
        </w:rPr>
      </w:pPr>
    </w:p>
    <w:p w:rsidR="00034333" w:rsidRDefault="00034333" w:rsidP="00034333">
      <w:pPr>
        <w:pStyle w:val="1"/>
      </w:pPr>
      <w:r>
        <w:t xml:space="preserve">Discussion </w:t>
      </w:r>
    </w:p>
    <w:p w:rsidR="00034333" w:rsidRDefault="00034333" w:rsidP="0013383D">
      <w:pPr>
        <w:rPr>
          <w:rFonts w:eastAsiaTheme="minorEastAsia"/>
        </w:rPr>
      </w:pPr>
      <w:r>
        <w:rPr>
          <w:rFonts w:eastAsiaTheme="minorEastAsia"/>
        </w:rPr>
        <w:t>E</w:t>
      </w:r>
      <w:r>
        <w:rPr>
          <w:rFonts w:eastAsiaTheme="minorEastAsia" w:hint="eastAsia"/>
        </w:rPr>
        <w:t xml:space="preserve">ven </w:t>
      </w:r>
      <w:r>
        <w:rPr>
          <w:rFonts w:eastAsiaTheme="minorEastAsia"/>
        </w:rPr>
        <w:t xml:space="preserve">though NR DC is considered for route redundancy, there could be possible architectures to be considered if we only refer the above agreement. </w:t>
      </w:r>
    </w:p>
    <w:p w:rsidR="00034333" w:rsidRDefault="00034333" w:rsidP="0013383D">
      <w:pPr>
        <w:rPr>
          <w:rFonts w:eastAsiaTheme="minorEastAsia"/>
        </w:rPr>
      </w:pPr>
      <w:r>
        <w:rPr>
          <w:rFonts w:eastAsiaTheme="minorEastAsia" w:hint="eastAsia"/>
        </w:rPr>
        <w:t xml:space="preserve">Below </w:t>
      </w:r>
      <w:r>
        <w:rPr>
          <w:rFonts w:eastAsiaTheme="minorEastAsia"/>
        </w:rPr>
        <w:t xml:space="preserve">is </w:t>
      </w:r>
      <w:r>
        <w:rPr>
          <w:rFonts w:eastAsiaTheme="minorEastAsia" w:hint="eastAsia"/>
        </w:rPr>
        <w:t xml:space="preserve">the dual connectivity architectural option. </w:t>
      </w:r>
    </w:p>
    <w:p w:rsidR="00034333" w:rsidRDefault="00034333" w:rsidP="0013383D">
      <w:r>
        <w:object w:dxaOrig="15435" w:dyaOrig="6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202.05pt" o:ole="">
            <v:imagedata r:id="rId7" o:title=""/>
          </v:shape>
          <o:OLEObject Type="Embed" ProgID="Visio.Drawing.15" ShapeID="_x0000_i1025" DrawAspect="Content" ObjectID="_1618402646" r:id="rId8"/>
        </w:object>
      </w:r>
    </w:p>
    <w:p w:rsidR="00034333" w:rsidRDefault="00034333" w:rsidP="0013383D"/>
    <w:p w:rsidR="00034333" w:rsidRDefault="00034333" w:rsidP="0013383D">
      <w:r>
        <w:t>c)</w:t>
      </w:r>
      <w:r w:rsidRPr="00034333">
        <w:t xml:space="preserve"> is from TR</w:t>
      </w:r>
      <w:r>
        <w:t xml:space="preserve"> [1]</w:t>
      </w:r>
      <w:r w:rsidRPr="00034333">
        <w:t xml:space="preserve"> while d</w:t>
      </w:r>
      <w:r>
        <w:t>)</w:t>
      </w:r>
      <w:r w:rsidRPr="00034333">
        <w:t xml:space="preserve"> and d’</w:t>
      </w:r>
      <w:r>
        <w:t>)</w:t>
      </w:r>
      <w:r w:rsidRPr="00034333">
        <w:t xml:space="preserve"> </w:t>
      </w:r>
      <w:r>
        <w:t>are</w:t>
      </w:r>
      <w:r w:rsidRPr="00034333">
        <w:t xml:space="preserve"> made </w:t>
      </w:r>
      <w:r>
        <w:t>for this contribution.</w:t>
      </w:r>
      <w:r w:rsidRPr="00034333">
        <w:t xml:space="preserve"> Note that there is no example on NR-DC type architecture </w:t>
      </w:r>
      <w:r>
        <w:t xml:space="preserve">even </w:t>
      </w:r>
      <w:r w:rsidRPr="00034333">
        <w:t>in TR or elsewhere.</w:t>
      </w:r>
      <w:r>
        <w:t xml:space="preserve"> </w:t>
      </w:r>
    </w:p>
    <w:p w:rsidR="00034333" w:rsidRDefault="00034333" w:rsidP="00034333">
      <w:r>
        <w:lastRenderedPageBreak/>
        <w:t>- c)</w:t>
      </w:r>
      <w:r w:rsidRPr="00034333">
        <w:t xml:space="preserve"> ENDC is clear. Focus on intermediate IAB node perspective. Two links (LTE Uu and NR Uu) and two node (eNB as MN, IAB donor as SN). Donor node is only IAB-donor gNB.</w:t>
      </w:r>
    </w:p>
    <w:p w:rsidR="00A7743F" w:rsidRDefault="00A7743F" w:rsidP="00034333">
      <w:r>
        <w:t xml:space="preserve">- d) NR-DC. </w:t>
      </w:r>
      <w:r w:rsidRPr="00A7743F">
        <w:t>Two donors (one MN and the other SN)</w:t>
      </w:r>
      <w:r>
        <w:t xml:space="preserve"> are both NR gNB</w:t>
      </w:r>
      <w:r w:rsidRPr="00A7743F">
        <w:t xml:space="preserve">. </w:t>
      </w:r>
      <w:r>
        <w:t>Both MN and SN have PDCP, RRC entity in it. T</w:t>
      </w:r>
      <w:r w:rsidRPr="00A7743F">
        <w:t xml:space="preserve">here should be only one parent node </w:t>
      </w:r>
      <w:r>
        <w:t xml:space="preserve">connected </w:t>
      </w:r>
      <w:r w:rsidRPr="00A7743F">
        <w:t xml:space="preserve">in </w:t>
      </w:r>
      <w:r>
        <w:t xml:space="preserve">each path to MN and SN at any IAB node. </w:t>
      </w:r>
    </w:p>
    <w:p w:rsidR="00A7743F" w:rsidRPr="00034333" w:rsidRDefault="00A7743F" w:rsidP="00034333">
      <w:r>
        <w:t xml:space="preserve">- d’) </w:t>
      </w:r>
      <w:r w:rsidR="00AE7C27">
        <w:t xml:space="preserve">other view of NR-DC. </w:t>
      </w:r>
      <w:r>
        <w:t>One possible option based on the agreement (</w:t>
      </w:r>
      <w:r w:rsidRPr="00A7743F">
        <w:t>Only requirement for adopting NR-DC is to link two parent nodes with an IAB node.</w:t>
      </w:r>
      <w:r>
        <w:t>)</w:t>
      </w:r>
      <w:r w:rsidRPr="00A7743F">
        <w:t xml:space="preserve">. Here single donor node but two distinctive parent nodes. </w:t>
      </w:r>
    </w:p>
    <w:p w:rsidR="00034333" w:rsidRDefault="00034333" w:rsidP="0013383D">
      <w:pPr>
        <w:rPr>
          <w:rFonts w:eastAsiaTheme="minorEastAsia"/>
        </w:rPr>
      </w:pPr>
    </w:p>
    <w:p w:rsidR="00AE7C27" w:rsidRDefault="00AE7C27" w:rsidP="0013383D">
      <w:pPr>
        <w:rPr>
          <w:rFonts w:eastAsiaTheme="minorEastAsia"/>
        </w:rPr>
      </w:pPr>
      <w:r>
        <w:rPr>
          <w:rFonts w:eastAsiaTheme="minorEastAsia"/>
        </w:rPr>
        <w:t>T</w:t>
      </w:r>
      <w:r>
        <w:rPr>
          <w:rFonts w:eastAsiaTheme="minorEastAsia" w:hint="eastAsia"/>
        </w:rPr>
        <w:t xml:space="preserve">he </w:t>
      </w:r>
      <w:r>
        <w:rPr>
          <w:rFonts w:eastAsiaTheme="minorEastAsia"/>
        </w:rPr>
        <w:t>pros and cons on d) and d’) are:</w:t>
      </w:r>
    </w:p>
    <w:p w:rsidR="00AE7C27" w:rsidRDefault="00AE7C27" w:rsidP="00AE7C27">
      <w:pPr>
        <w:pStyle w:val="a5"/>
        <w:numPr>
          <w:ilvl w:val="0"/>
          <w:numId w:val="2"/>
        </w:numPr>
        <w:ind w:leftChars="0"/>
        <w:rPr>
          <w:rFonts w:eastAsiaTheme="minorEastAsia"/>
        </w:rPr>
      </w:pPr>
      <w:r w:rsidRPr="00AE7C27">
        <w:rPr>
          <w:rFonts w:eastAsiaTheme="minorEastAsia"/>
        </w:rPr>
        <w:t>d): pros: procedural and protocol stack point of view, there is not much things to be modified for IAB operation. Already developed NR-DC can be fully reused.</w:t>
      </w:r>
      <w:r>
        <w:rPr>
          <w:rFonts w:eastAsiaTheme="minorEastAsia"/>
        </w:rPr>
        <w:t xml:space="preserve"> Cons: always need two donor node.</w:t>
      </w:r>
    </w:p>
    <w:p w:rsidR="00AE7C27" w:rsidRPr="00AE7C27" w:rsidRDefault="00AE7C27" w:rsidP="00AE7C27">
      <w:pPr>
        <w:pStyle w:val="a5"/>
        <w:numPr>
          <w:ilvl w:val="0"/>
          <w:numId w:val="2"/>
        </w:numPr>
        <w:ind w:leftChars="0"/>
        <w:rPr>
          <w:rFonts w:eastAsiaTheme="minorEastAsia"/>
        </w:rPr>
      </w:pPr>
      <w:r>
        <w:rPr>
          <w:rFonts w:eastAsiaTheme="minorEastAsia"/>
        </w:rPr>
        <w:t xml:space="preserve">d’): pros: single donor node can support link redundancy. Cons: much aspects are different with already specified NR-DC. </w:t>
      </w:r>
    </w:p>
    <w:p w:rsidR="00AE7C27" w:rsidRDefault="00AE7C27" w:rsidP="0013383D">
      <w:pPr>
        <w:rPr>
          <w:rFonts w:eastAsiaTheme="minorEastAsia"/>
        </w:rPr>
      </w:pPr>
    </w:p>
    <w:p w:rsidR="00AE7C27" w:rsidRPr="00F263D7" w:rsidRDefault="00AE7C27" w:rsidP="0013383D">
      <w:pPr>
        <w:rPr>
          <w:rFonts w:eastAsiaTheme="minorEastAsia"/>
          <w:i/>
        </w:rPr>
      </w:pPr>
      <w:r w:rsidRPr="00F263D7">
        <w:rPr>
          <w:rFonts w:eastAsiaTheme="minorEastAsia" w:hint="eastAsia"/>
          <w:i/>
        </w:rPr>
        <w:t xml:space="preserve">Observation </w:t>
      </w:r>
      <w:r w:rsidR="00F263D7" w:rsidRPr="00F263D7">
        <w:rPr>
          <w:rFonts w:eastAsiaTheme="minorEastAsia"/>
          <w:i/>
        </w:rPr>
        <w:t>1. Architecture option d) and d’) have different pros and cons.</w:t>
      </w:r>
    </w:p>
    <w:p w:rsidR="00F263D7" w:rsidRPr="00F263D7" w:rsidRDefault="00F263D7" w:rsidP="0013383D">
      <w:pPr>
        <w:rPr>
          <w:rFonts w:eastAsiaTheme="minorEastAsia"/>
          <w:b/>
        </w:rPr>
      </w:pPr>
      <w:r w:rsidRPr="00F263D7">
        <w:rPr>
          <w:rFonts w:eastAsiaTheme="minorEastAsia"/>
          <w:b/>
        </w:rPr>
        <w:t>Proposal 1. RAN2 confirms which type of architecture option is considered for NR-DC framework for IAB link reliability.</w:t>
      </w:r>
    </w:p>
    <w:p w:rsidR="00034333" w:rsidRDefault="00034333" w:rsidP="0013383D"/>
    <w:p w:rsidR="00034333" w:rsidRPr="0085091C" w:rsidRDefault="0085091C" w:rsidP="0085091C">
      <w:pPr>
        <w:pStyle w:val="1"/>
      </w:pPr>
      <w:r>
        <w:t xml:space="preserve">Conclusion </w:t>
      </w:r>
    </w:p>
    <w:p w:rsidR="00034333" w:rsidRDefault="0085091C" w:rsidP="0013383D">
      <w:pPr>
        <w:rPr>
          <w:rFonts w:eastAsiaTheme="minorEastAsia"/>
        </w:rPr>
      </w:pPr>
      <w:r>
        <w:rPr>
          <w:rFonts w:eastAsiaTheme="minorEastAsia"/>
        </w:rPr>
        <w:t>B</w:t>
      </w:r>
      <w:r>
        <w:rPr>
          <w:rFonts w:eastAsiaTheme="minorEastAsia" w:hint="eastAsia"/>
        </w:rPr>
        <w:t xml:space="preserve">ased </w:t>
      </w:r>
      <w:r>
        <w:rPr>
          <w:rFonts w:eastAsiaTheme="minorEastAsia"/>
        </w:rPr>
        <w:t>on above discussion we have the following proposal:</w:t>
      </w:r>
    </w:p>
    <w:p w:rsidR="0085091C" w:rsidRPr="00F263D7" w:rsidRDefault="0085091C" w:rsidP="0085091C">
      <w:pPr>
        <w:rPr>
          <w:rFonts w:eastAsiaTheme="minorEastAsia"/>
          <w:b/>
        </w:rPr>
      </w:pPr>
      <w:r w:rsidRPr="00F263D7">
        <w:rPr>
          <w:rFonts w:eastAsiaTheme="minorEastAsia"/>
          <w:b/>
        </w:rPr>
        <w:t>Proposal 1. RAN2 confirms which type of architecture option is considered for NR-DC framework for IAB link reliability.</w:t>
      </w:r>
    </w:p>
    <w:p w:rsidR="0085091C" w:rsidRPr="0085091C" w:rsidRDefault="0085091C" w:rsidP="0013383D">
      <w:pPr>
        <w:rPr>
          <w:rFonts w:eastAsiaTheme="minorEastAsia"/>
        </w:rPr>
      </w:pPr>
    </w:p>
    <w:p w:rsidR="00034333" w:rsidRDefault="00034333" w:rsidP="0013383D"/>
    <w:p w:rsidR="00034333" w:rsidRDefault="00034333" w:rsidP="00F263D7">
      <w:pPr>
        <w:pStyle w:val="1"/>
      </w:pPr>
      <w:r>
        <w:t xml:space="preserve">References </w:t>
      </w:r>
    </w:p>
    <w:p w:rsidR="00034333" w:rsidRPr="00034333" w:rsidRDefault="00034333" w:rsidP="0013383D">
      <w:pPr>
        <w:rPr>
          <w:rFonts w:eastAsiaTheme="minorEastAsia"/>
        </w:rPr>
      </w:pPr>
      <w:r>
        <w:t>[1] TR 38.874</w:t>
      </w:r>
      <w:r w:rsidR="00F263D7">
        <w:t xml:space="preserve"> </w:t>
      </w:r>
      <w:r w:rsidR="00F263D7" w:rsidRPr="00E23CFA">
        <w:rPr>
          <w:rFonts w:cs="Arial"/>
        </w:rPr>
        <w:t>Study on Integrated Access and Backhaul</w:t>
      </w:r>
    </w:p>
    <w:sectPr w:rsidR="00034333" w:rsidRPr="0003433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193" w:rsidRDefault="00961193" w:rsidP="0085091C">
      <w:pPr>
        <w:spacing w:after="0" w:line="240" w:lineRule="auto"/>
      </w:pPr>
      <w:r>
        <w:separator/>
      </w:r>
    </w:p>
  </w:endnote>
  <w:endnote w:type="continuationSeparator" w:id="0">
    <w:p w:rsidR="00961193" w:rsidRDefault="00961193" w:rsidP="00850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바탕체">
    <w:panose1 w:val="02030609000101010101"/>
    <w:charset w:val="81"/>
    <w:family w:val="roma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193" w:rsidRDefault="00961193" w:rsidP="0085091C">
      <w:pPr>
        <w:spacing w:after="0" w:line="240" w:lineRule="auto"/>
      </w:pPr>
      <w:r>
        <w:separator/>
      </w:r>
    </w:p>
  </w:footnote>
  <w:footnote w:type="continuationSeparator" w:id="0">
    <w:p w:rsidR="00961193" w:rsidRDefault="00961193" w:rsidP="008509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3BE038E7"/>
    <w:multiLevelType w:val="hybridMultilevel"/>
    <w:tmpl w:val="100C222A"/>
    <w:lvl w:ilvl="0" w:tplc="A084852A">
      <w:start w:val="4"/>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83D"/>
    <w:rsid w:val="00033F41"/>
    <w:rsid w:val="00034333"/>
    <w:rsid w:val="00046839"/>
    <w:rsid w:val="0013383D"/>
    <w:rsid w:val="005A585A"/>
    <w:rsid w:val="006C38BB"/>
    <w:rsid w:val="00714E58"/>
    <w:rsid w:val="007D3111"/>
    <w:rsid w:val="00846938"/>
    <w:rsid w:val="0085091C"/>
    <w:rsid w:val="008D7364"/>
    <w:rsid w:val="009012A8"/>
    <w:rsid w:val="00940F74"/>
    <w:rsid w:val="00961193"/>
    <w:rsid w:val="00A7743F"/>
    <w:rsid w:val="00AE7C27"/>
    <w:rsid w:val="00C61031"/>
    <w:rsid w:val="00D5117B"/>
    <w:rsid w:val="00EE5A72"/>
    <w:rsid w:val="00F263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A38649-202E-4500-9E4B-B4F92F2E0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13383D"/>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13383D"/>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13383D"/>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13383D"/>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13383D"/>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13383D"/>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13383D"/>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13383D"/>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13383D"/>
    <w:rPr>
      <w:rFonts w:ascii="Arial" w:eastAsia="SimSun" w:hAnsi="Arial" w:cs="Times New Roman"/>
      <w:kern w:val="0"/>
      <w:sz w:val="24"/>
      <w:szCs w:val="20"/>
      <w:lang w:val="en-GB" w:eastAsia="en-US"/>
    </w:rPr>
  </w:style>
  <w:style w:type="paragraph" w:customStyle="1" w:styleId="a">
    <w:name w:val="插图题注"/>
    <w:basedOn w:val="a1"/>
    <w:rsid w:val="0013383D"/>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13383D"/>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styleId="a5">
    <w:name w:val="List Paragraph"/>
    <w:basedOn w:val="a1"/>
    <w:uiPriority w:val="34"/>
    <w:qFormat/>
    <w:rsid w:val="00AE7C27"/>
    <w:pPr>
      <w:ind w:leftChars="400" w:left="800"/>
    </w:pPr>
  </w:style>
  <w:style w:type="paragraph" w:styleId="a6">
    <w:name w:val="header"/>
    <w:basedOn w:val="a1"/>
    <w:link w:val="Char"/>
    <w:uiPriority w:val="99"/>
    <w:unhideWhenUsed/>
    <w:rsid w:val="0085091C"/>
    <w:pPr>
      <w:tabs>
        <w:tab w:val="center" w:pos="4513"/>
        <w:tab w:val="right" w:pos="9026"/>
      </w:tabs>
      <w:snapToGrid w:val="0"/>
    </w:pPr>
  </w:style>
  <w:style w:type="character" w:customStyle="1" w:styleId="Char">
    <w:name w:val="머리글 Char"/>
    <w:basedOn w:val="a2"/>
    <w:link w:val="a6"/>
    <w:uiPriority w:val="99"/>
    <w:rsid w:val="0085091C"/>
    <w:rPr>
      <w:rFonts w:ascii="Calibri" w:eastAsia="Calibri" w:hAnsi="Calibri"/>
    </w:rPr>
  </w:style>
  <w:style w:type="paragraph" w:styleId="a7">
    <w:name w:val="footer"/>
    <w:basedOn w:val="a1"/>
    <w:link w:val="Char0"/>
    <w:uiPriority w:val="99"/>
    <w:unhideWhenUsed/>
    <w:rsid w:val="0085091C"/>
    <w:pPr>
      <w:tabs>
        <w:tab w:val="center" w:pos="4513"/>
        <w:tab w:val="right" w:pos="9026"/>
      </w:tabs>
      <w:snapToGrid w:val="0"/>
    </w:pPr>
  </w:style>
  <w:style w:type="character" w:customStyle="1" w:styleId="Char0">
    <w:name w:val="바닥글 Char"/>
    <w:basedOn w:val="a2"/>
    <w:link w:val="a7"/>
    <w:uiPriority w:val="99"/>
    <w:rsid w:val="0085091C"/>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589685">
      <w:bodyDiv w:val="1"/>
      <w:marLeft w:val="0"/>
      <w:marRight w:val="0"/>
      <w:marTop w:val="0"/>
      <w:marBottom w:val="0"/>
      <w:divBdr>
        <w:top w:val="none" w:sz="0" w:space="0" w:color="auto"/>
        <w:left w:val="none" w:sz="0" w:space="0" w:color="auto"/>
        <w:bottom w:val="none" w:sz="0" w:space="0" w:color="auto"/>
        <w:right w:val="none" w:sz="0" w:space="0" w:color="auto"/>
      </w:divBdr>
    </w:div>
    <w:div w:id="179949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345</Words>
  <Characters>1968</Characters>
  <Application>Microsoft Office Word</Application>
  <DocSecurity>0</DocSecurity>
  <Lines>16</Lines>
  <Paragraphs>4</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5</cp:revision>
  <dcterms:created xsi:type="dcterms:W3CDTF">2019-05-02T11:56:00Z</dcterms:created>
  <dcterms:modified xsi:type="dcterms:W3CDTF">2019-05-03T06:29:00Z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데이터\RAN2#106\[IAB]\NR-DC architecture for IAB.docx</vt:lpwstr>
  </property>
</Properties>
</file>